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48F6" w14:textId="03465C87" w:rsidR="00BE6E58" w:rsidRDefault="00843003" w:rsidP="001D3468">
      <w:pPr>
        <w:jc w:val="right"/>
        <w:rPr>
          <w:lang w:val="es-ES"/>
        </w:rPr>
      </w:pPr>
      <w:r>
        <w:rPr>
          <w:lang w:val="es-ES"/>
        </w:rPr>
        <w:t>17</w:t>
      </w:r>
      <w:r w:rsidR="00D42EB9">
        <w:rPr>
          <w:lang w:val="es-ES"/>
        </w:rPr>
        <w:t xml:space="preserve"> </w:t>
      </w:r>
      <w:r w:rsidR="00BE6E58">
        <w:rPr>
          <w:lang w:val="es-ES"/>
        </w:rPr>
        <w:t>de septiembre de 2020.</w:t>
      </w:r>
    </w:p>
    <w:p w14:paraId="7CF9A941" w14:textId="77777777" w:rsidR="00BE6E58" w:rsidRDefault="00BE6E58" w:rsidP="00BE6E58">
      <w:pPr>
        <w:jc w:val="right"/>
        <w:rPr>
          <w:lang w:val="es-ES"/>
        </w:rPr>
      </w:pPr>
    </w:p>
    <w:p w14:paraId="10DF230B" w14:textId="20686E71" w:rsidR="00BE6E58" w:rsidRDefault="00843003">
      <w:pPr>
        <w:rPr>
          <w:lang w:val="es-ES"/>
        </w:rPr>
      </w:pPr>
      <w:r>
        <w:rPr>
          <w:lang w:val="es-ES"/>
        </w:rPr>
        <w:t>La normativa permite a los usuarios trasladar sus productos financieros de una institución a otra</w:t>
      </w:r>
    </w:p>
    <w:p w14:paraId="2B832D63" w14:textId="3D58F489" w:rsidR="00BE6E58" w:rsidRPr="001D3468" w:rsidRDefault="00843003">
      <w:pPr>
        <w:rPr>
          <w:b/>
          <w:bCs/>
          <w:sz w:val="36"/>
          <w:szCs w:val="36"/>
          <w:lang w:val="es-ES"/>
        </w:rPr>
      </w:pPr>
      <w:proofErr w:type="gramStart"/>
      <w:r>
        <w:rPr>
          <w:b/>
          <w:bCs/>
          <w:sz w:val="36"/>
          <w:szCs w:val="36"/>
          <w:lang w:val="es-ES"/>
        </w:rPr>
        <w:t>Entra en vigencia</w:t>
      </w:r>
      <w:proofErr w:type="gramEnd"/>
      <w:r>
        <w:rPr>
          <w:b/>
          <w:bCs/>
          <w:sz w:val="36"/>
          <w:szCs w:val="36"/>
          <w:lang w:val="es-ES"/>
        </w:rPr>
        <w:t xml:space="preserve"> ley y reglamento de portabilidad financiera</w:t>
      </w:r>
    </w:p>
    <w:p w14:paraId="6270F612" w14:textId="77777777" w:rsidR="00BE6E58" w:rsidRDefault="00BE6E58">
      <w:pPr>
        <w:rPr>
          <w:lang w:val="es-ES"/>
        </w:rPr>
      </w:pPr>
    </w:p>
    <w:p w14:paraId="741074B9" w14:textId="495C89E2" w:rsidR="001D3468" w:rsidRPr="001D3468" w:rsidRDefault="00843003" w:rsidP="00BE6E58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Juan Magasich Capone</w:t>
      </w:r>
      <w:r w:rsidR="00B9702A">
        <w:rPr>
          <w:i/>
          <w:iCs/>
          <w:lang w:val="es-ES"/>
        </w:rPr>
        <w:t>, asociado de Magasich y Cía.</w:t>
      </w:r>
    </w:p>
    <w:p w14:paraId="54FB8D57" w14:textId="77777777" w:rsidR="001D3468" w:rsidRDefault="001D3468" w:rsidP="00BE6E58">
      <w:pPr>
        <w:jc w:val="both"/>
        <w:rPr>
          <w:lang w:val="es-ES"/>
        </w:rPr>
      </w:pPr>
    </w:p>
    <w:p w14:paraId="33191078" w14:textId="0A30E9DF" w:rsidR="00BE6E58" w:rsidRDefault="00843003" w:rsidP="00857914">
      <w:pPr>
        <w:jc w:val="both"/>
        <w:rPr>
          <w:lang w:val="es-ES"/>
        </w:rPr>
      </w:pPr>
      <w:r>
        <w:rPr>
          <w:lang w:val="es-ES"/>
        </w:rPr>
        <w:t xml:space="preserve">Con fecha 9 de junio del 2020, se publicó la ley 21.236, que regula la portabilidad financiera. Según sus propios términos, </w:t>
      </w:r>
      <w:proofErr w:type="gramStart"/>
      <w:r>
        <w:rPr>
          <w:lang w:val="es-ES"/>
        </w:rPr>
        <w:t>entró en vigencia</w:t>
      </w:r>
      <w:proofErr w:type="gramEnd"/>
      <w:r>
        <w:rPr>
          <w:lang w:val="es-ES"/>
        </w:rPr>
        <w:t xml:space="preserve"> los primeros días del mes de septiembre.</w:t>
      </w:r>
      <w:r w:rsidR="00E23E71">
        <w:rPr>
          <w:lang w:val="es-ES"/>
        </w:rPr>
        <w:t xml:space="preserve"> El reglamento correspondiente, que regula los aspectos de detalle de esta normativa, está contenido en el Decreto 1154 del Ministerio de Hacienda, que fue publicado el día 8 de septiembre del 2020.</w:t>
      </w:r>
    </w:p>
    <w:p w14:paraId="1188BD32" w14:textId="45CEEEF2" w:rsidR="00E23E71" w:rsidRDefault="00E23E71" w:rsidP="00857914">
      <w:pPr>
        <w:jc w:val="both"/>
        <w:rPr>
          <w:lang w:val="es-ES"/>
        </w:rPr>
      </w:pPr>
    </w:p>
    <w:p w14:paraId="2EB19434" w14:textId="7CBB1330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>El objetivo principal de esta normativa es establecer un derecho de portabilidad financiera, que permite a todo cliente de una institución financiera trasladar sus productos de la institución con que contrató inicialmente, a otra distinta, o bien, aún dentro de la misma institución, solicitar una modificación de sus términos. En este sentido, se establecen distintas modalidades, y se regula el procedimiento al efecto.</w:t>
      </w:r>
    </w:p>
    <w:p w14:paraId="2FDC17AB" w14:textId="2984BF15" w:rsidR="00E23E71" w:rsidRDefault="00E23E71" w:rsidP="00857914">
      <w:pPr>
        <w:jc w:val="both"/>
        <w:rPr>
          <w:lang w:val="es-ES"/>
        </w:rPr>
      </w:pPr>
    </w:p>
    <w:p w14:paraId="64A358CD" w14:textId="21E4873C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En relación con el procedimiento, hay en general tres sujetos: el cliente, el proveedor inicial, y el nuevo proveedor. El procedimiento se inicia con la solicitud de portabilidad financiera que hace el cliente al nuevo proveedor, mediante </w:t>
      </w:r>
      <w:commentRangeStart w:id="0"/>
      <w:r>
        <w:rPr>
          <w:lang w:val="es-ES"/>
        </w:rPr>
        <w:t>un formulario que se ha puesto a disposición al efecto</w:t>
      </w:r>
      <w:commentRangeEnd w:id="0"/>
      <w:r>
        <w:rPr>
          <w:rStyle w:val="Refdecomentario"/>
        </w:rPr>
        <w:commentReference w:id="0"/>
      </w:r>
      <w:r>
        <w:rPr>
          <w:lang w:val="es-ES"/>
        </w:rPr>
        <w:t>. Avanzando en el procedimiento, el nuevo proveedor realizará una oferta de portabilidad financiera, que el cliente puede aceptar o rechazar. En caso de aceptarla, se celebra un nuevo contrato, y en base a este, se encarga un mandato de término al nuevo proveedor, para que realice todas las gestiones necesarias a efectos de que la operación se lleve a cabo con éxito.</w:t>
      </w:r>
    </w:p>
    <w:p w14:paraId="5724D2E7" w14:textId="3ABBCB0C" w:rsidR="00E23E71" w:rsidRDefault="00E23E71" w:rsidP="00857914">
      <w:pPr>
        <w:jc w:val="both"/>
        <w:rPr>
          <w:lang w:val="es-ES"/>
        </w:rPr>
      </w:pPr>
    </w:p>
    <w:p w14:paraId="4E4EC993" w14:textId="77777777" w:rsidR="00E23E71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Se trata en general, de un procedimiento que procura facilidades para el cliente, entre las que destacan la proactividad que se impone al nuevo proveedor, la eximición -por regla general- de gastos en notarios y conservadores, entre otros. </w:t>
      </w:r>
    </w:p>
    <w:p w14:paraId="40043A3B" w14:textId="77777777" w:rsidR="00E23E71" w:rsidRDefault="00E23E71" w:rsidP="00857914">
      <w:pPr>
        <w:jc w:val="both"/>
        <w:rPr>
          <w:lang w:val="es-ES"/>
        </w:rPr>
      </w:pPr>
    </w:p>
    <w:p w14:paraId="5169711C" w14:textId="52B8B0A9" w:rsidR="00E23E71" w:rsidRPr="00BE6E58" w:rsidRDefault="00E23E71" w:rsidP="00857914">
      <w:pPr>
        <w:jc w:val="both"/>
        <w:rPr>
          <w:lang w:val="es-ES"/>
        </w:rPr>
      </w:pPr>
      <w:r>
        <w:rPr>
          <w:lang w:val="es-ES"/>
        </w:rPr>
        <w:t xml:space="preserve">En relación con lo anterior, nuestro Estudio ha elaborado informes, tanto </w:t>
      </w:r>
      <w:commentRangeStart w:id="1"/>
      <w:r>
        <w:rPr>
          <w:lang w:val="es-ES"/>
        </w:rPr>
        <w:t>de la ley 21.236</w:t>
      </w:r>
      <w:commentRangeEnd w:id="1"/>
      <w:r>
        <w:rPr>
          <w:rStyle w:val="Refdecomentario"/>
        </w:rPr>
        <w:commentReference w:id="1"/>
      </w:r>
      <w:r>
        <w:rPr>
          <w:lang w:val="es-ES"/>
        </w:rPr>
        <w:t xml:space="preserve">, como </w:t>
      </w:r>
      <w:commentRangeStart w:id="2"/>
      <w:r>
        <w:rPr>
          <w:lang w:val="es-ES"/>
        </w:rPr>
        <w:t>de su reglamento</w:t>
      </w:r>
      <w:commentRangeEnd w:id="2"/>
      <w:r>
        <w:rPr>
          <w:rStyle w:val="Refdecomentario"/>
        </w:rPr>
        <w:commentReference w:id="2"/>
      </w:r>
      <w:r>
        <w:rPr>
          <w:lang w:val="es-ES"/>
        </w:rPr>
        <w:t>, que esperamos contribuyan a su mejor entendimiento y difusión. Esperamos sean de utilidad.</w:t>
      </w:r>
    </w:p>
    <w:sectPr w:rsidR="00E23E71" w:rsidRPr="00BE6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an Magasich Capone" w:date="2020-09-17T13:30:00Z" w:initials="JMC">
    <w:p w14:paraId="5D0C5362" w14:textId="2E0237F1" w:rsidR="00E23E71" w:rsidRDefault="00E23E71">
      <w:pPr>
        <w:pStyle w:val="Textocomentario"/>
      </w:pPr>
      <w:r>
        <w:rPr>
          <w:rStyle w:val="Refdecomentario"/>
        </w:rPr>
        <w:annotationRef/>
      </w:r>
      <w:r>
        <w:t>Generar hipervínculo al efecto.</w:t>
      </w:r>
    </w:p>
  </w:comment>
  <w:comment w:id="1" w:author="Juan Magasich Capone" w:date="2020-09-17T13:34:00Z" w:initials="JMC">
    <w:p w14:paraId="135A3DDC" w14:textId="6CF54B5C" w:rsidR="00E23E71" w:rsidRDefault="00E23E71">
      <w:pPr>
        <w:pStyle w:val="Textocomentario"/>
      </w:pPr>
      <w:r>
        <w:rPr>
          <w:rStyle w:val="Refdecomentario"/>
        </w:rPr>
        <w:annotationRef/>
      </w:r>
      <w:r>
        <w:t>Generar hipervínculo</w:t>
      </w:r>
    </w:p>
  </w:comment>
  <w:comment w:id="2" w:author="Juan Magasich Capone" w:date="2020-09-17T13:34:00Z" w:initials="JMC">
    <w:p w14:paraId="1958F12D" w14:textId="6961FE50" w:rsidR="00E23E71" w:rsidRDefault="00E23E71">
      <w:pPr>
        <w:pStyle w:val="Textocomentario"/>
      </w:pPr>
      <w:r>
        <w:rPr>
          <w:rStyle w:val="Refdecomentario"/>
        </w:rPr>
        <w:annotationRef/>
      </w:r>
      <w:r>
        <w:t>Generar hipervínculo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0C5362" w15:done="0"/>
  <w15:commentEx w15:paraId="135A3DDC" w15:done="0"/>
  <w15:commentEx w15:paraId="1958F1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38E" w16cex:dateUtc="2020-09-17T16:30:00Z"/>
  <w16cex:commentExtensible w16cex:durableId="230DE46D" w16cex:dateUtc="2020-09-17T16:34:00Z"/>
  <w16cex:commentExtensible w16cex:durableId="230DE477" w16cex:dateUtc="2020-09-17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C5362" w16cid:durableId="230DE38E"/>
  <w16cid:commentId w16cid:paraId="135A3DDC" w16cid:durableId="230DE46D"/>
  <w16cid:commentId w16cid:paraId="1958F12D" w16cid:durableId="230DE4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Magasich Capone">
    <w15:presenceInfo w15:providerId="Windows Live" w15:userId="7f703f050bbf3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8"/>
    <w:rsid w:val="000D17E4"/>
    <w:rsid w:val="001A1D6C"/>
    <w:rsid w:val="001D3468"/>
    <w:rsid w:val="002C3267"/>
    <w:rsid w:val="006F5392"/>
    <w:rsid w:val="00843003"/>
    <w:rsid w:val="00857914"/>
    <w:rsid w:val="009C232C"/>
    <w:rsid w:val="00AB3D9B"/>
    <w:rsid w:val="00B9702A"/>
    <w:rsid w:val="00BE6E58"/>
    <w:rsid w:val="00D42EB9"/>
    <w:rsid w:val="00E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ACB"/>
  <w15:chartTrackingRefBased/>
  <w15:docId w15:val="{13B72564-BE24-A945-AE72-7085D53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D1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7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7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Chávez Gac</dc:creator>
  <cp:keywords/>
  <dc:description/>
  <cp:lastModifiedBy>Juan Magasich Capone</cp:lastModifiedBy>
  <cp:revision>2</cp:revision>
  <dcterms:created xsi:type="dcterms:W3CDTF">2020-09-17T16:36:00Z</dcterms:created>
  <dcterms:modified xsi:type="dcterms:W3CDTF">2020-09-17T16:36:00Z</dcterms:modified>
</cp:coreProperties>
</file>